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3F3" w:rsidRPr="00336F07" w:rsidRDefault="00CC63F3" w:rsidP="00336F07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BNB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A5A5A5"/>
          <w:sz w:val="24"/>
          <w:szCs w:val="24"/>
          <w:lang w:eastAsia="pt-BR"/>
        </w:rPr>
      </w:pP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b/>
          <w:bCs/>
          <w:iCs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b/>
          <w:bCs/>
          <w:iCs/>
          <w:color w:val="222222"/>
          <w:sz w:val="24"/>
          <w:szCs w:val="24"/>
          <w:lang w:eastAsia="pt-BR"/>
        </w:rPr>
        <w:t>Entre os avanços estão consolidação de conquista na PLR, encaminhamento da revisão do Plano de Cargos, criação de uma Mesa Temática para debater a revisão do Plano de Funções e Certificação obrigatória em Diversidade e Mediação para gestores principais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CC63F3" w:rsidRPr="00336F07" w:rsidRDefault="00336F07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</w:t>
      </w:r>
      <w:r w:rsidR="00CC63F3"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vanços no âmbito da campanha nacional 2026, para a renovação do Acordo Coletivo de Trabalho (ACT) do Banco do Nordeste do Brasil (BNB). 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Outro importante avanço foi a consolidação de conquista na PLR, com a destinação de até 48% dos dividendos e Juros sobre Capital Próprio (JCP) para a PLR. Os trabalhadores também conquistaram a criação de uma Mesa Temática para debater a revisão do Plano de Funções. </w:t>
      </w:r>
    </w:p>
    <w:p w:rsidR="00336F07" w:rsidRPr="00336F07" w:rsidRDefault="00336F07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O</w:t>
      </w:r>
      <w:r w:rsidR="00CC63F3"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utro importante avanços nesta campanha a implementação da não incidência do Imposto de Renda sobre o auxílio-creche. 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Outra conquista apontada é a Certificação obrigatória em Diversidade e Mediação para Gestores Principais do BNB, que será pré-requisito para acesso às funções de gestão principal, promovendo inclusão e respeito para todos e todas.</w:t>
      </w:r>
    </w:p>
    <w:p w:rsidR="00CC63F3" w:rsidRPr="00336F07" w:rsidRDefault="00336F07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O outro ponto é </w:t>
      </w:r>
      <w:r w:rsidR="00CC63F3"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 isenção da coparticipação em exames e consultas para prevenção do câncer no último trimestre de cada ano, em consonância com o </w:t>
      </w:r>
      <w:proofErr w:type="gramStart"/>
      <w:r w:rsidR="00CC63F3"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Outubro</w:t>
      </w:r>
      <w:proofErr w:type="gramEnd"/>
      <w:r w:rsidR="00CC63F3"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Rosa e o Novembro Azul. </w:t>
      </w:r>
    </w:p>
    <w:p w:rsidR="00336F07" w:rsidRPr="00336F07" w:rsidRDefault="00336F07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Assembleias dias 3 e 4 de agosto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 propos</w:t>
      </w:r>
      <w:r w:rsidR="00336F07"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ta será submetida à aprovação dos</w:t>
      </w: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bancários do BNB, em assembleia, que será realizada das 19h de quinta-feira (3) até às 19h da sexta-feira (4), precedida de plenária de esclarecimentos e debates sobre as propostas.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Além das propostas para renovação do Acordo Coletivo de Trabalho (ACT), a categoria também irá avaliar as propostas de renovação da Convenção Coletiva de Trabalho (CCT), que o BNB se comprometeu a seguir. 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Veja a lista de conquistas na íntegra: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1 - Renovação de todas as cláusulas do Acordo Coletivo de Trabalho vigente.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 xml:space="preserve">2 - Mesa Única de Negociação: O BNB se compromete a continuar signatário da Mesa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Fenaban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3 - Reajuste dos salários: reajuste seguindo a Convenção Coletiva de Trabalho (CCT) 2026/2028, observadas as condições negociadas entre as partes e as autorizações cabíveis.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4 - Vales alimentação e refeição: reajuste seguindo a CCT 2026/2028.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5 - 13ª Cesta Alimentação: manutenção do benefício para todos os empregados em exercício na data do crédito.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6 - Benefícios: reajuste seguindo a CCT: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Auxílio creche/babá;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Auxílio dependente com deficiência;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Auxílio funeral;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Indenização por morte ou incapacidade decorrente de assalto.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Auxílio material escolar (para funcionários admitidos até 22.03.1988)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7 - Piso Salarial: Elevação do piso salarial seguindo o reajuste da CCT.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8 - Antecipação do pagamento dos benefícios referentes ao mês de setembro/26 previsto no ACT: auxílios alimentação e refeição e adiantamento para férias.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9 - Plano de Cargos: encaminhamento de proposta de revisão do Plano de Cargos para os órgãos de controle, após validação e concordância por parte da Comissão Paritária do BNB.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10 - Promoção no cargo: Aprimoramento do critério de apuração do tempo de serviço para fins de promoção no cargo, de modo que, passem a ser deduzidos os afastamentos de licença-saúde abonados pelo banco apenas quando excederem 30 dias, em substituição ao parâmetro atualmente vigente de 15 dias.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11 - Celular corporativo: disponibilidade de aparelho celular corporativo aos Gerentes de Relacionamento e Gerentes de Relacionamento Corporate da Rede de Agências, como ferramenta de trabalho necessária ao desempenho de suas atribuições, considerando a necessidade de atendimento aos clientes, realização de atividades externas, comunicação institucional e acesso seguro aos sistemas corporativos, com vistas ao aprimoramento de prestação dos serviços e dos processos de negócio do banco.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12 - Concorrência interna: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>- A partir de 2027, aprimorar o modelo vigente com a inclusão de etapa de análise comportamental, baseada em metodologia estruturada, com o objetivo de ampliar a objetividade do processo seletivo.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- Pontuação, </w:t>
      </w:r>
      <w:proofErr w:type="gram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no Promova-se</w:t>
      </w:r>
      <w:proofErr w:type="gram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, para todos os membros da CIPA, seja titular ou suplente eleito, titular ou suplente indicado, representante da Unidade, sendo a pontuação calculada pro rata.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- Pontuação, </w:t>
      </w:r>
      <w:proofErr w:type="gram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no Promova-se</w:t>
      </w:r>
      <w:proofErr w:type="gram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, para membros Titulares e Suplentes e para Representantes Estaduais da Comissão de Ética, sendo a pontuação calculada pro rata.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Flexibilização dos critérios de concorrência no que se refere a tempo de banco e pontuação mínima, para participação dos empregados recém-admitidos nos processos de concorrência para Gerente de Relacionamento de Agência, desde que possuam os requisitos obrigatórios.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13 - Ausências abonadas: aperfeiçoamento da regra atual, de modo a manter a indenização automática, mas também permitir ao empregado optar pela utilização das ausências após as férias, desde que a solicitação seja formalizada previamente ao início do período de férias.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14 - Simulador de folha de pagamento: criação de simulador de folha para os empregados que almejam mudar de função ou participar de concorrência interna, para fins de avaliação de impacto financeiro.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15 - Ponto eletrônico: tratamento automático pelo sistema de justificativa "compensação de horas" para registros de jornadas incompletas, conferindo mais agilidade no tratamento das ocorrências funcionais.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16 - Dispensa de função em comissão: inclusão de etapa no processo de dispensa de função em comissão, com a participação do Ambiente de Gestão de Pessoas, para fins acompanhamento da etapa de feedback.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17 - Auxílio creche: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Concessão automática a partir da licença maternidade ou paternidade sem a necessidade de solicitação específica para acesso ao benefício.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Implementação da não incidência de Imposto de Renda sobre o auxílio-creche, em consonância com sua natureza indenizatória e com o entendimento jurídico e tributário adotado pelo banco.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>18 - Diversidade: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Programa RETOMAR (Reintegração Profissional no Pós Licença Maternidade). Após o retorno de licença maternidade, a empregada passará 15 dias lotado na Superintendência de DH, para a adequada reintegração profissional e atualização institucional, visando retomar o ritmo e o pertencimento de forma gradual através de capacitação, incluindo a previsão de substituição, em caso de gestor.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Concessão de Cordão de Girassol como identificação para todas as deficiências não aparentes, de forma que as pessoas recebam o suporte adequado sem constrangimentos.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Certificação Obrigatória em Diversidade e Mediação para Gestores Principais do Banco, como pré-requisito para acesso às funções de gestão principal, contemplando os temas gênero, raça, orientação sexual, pessoas com deficiência/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neurodivergentes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, conflito no trabalho e combate ao assédio moral e sexual.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Treinamento para empregados e comunidade BNB sobre Violência Doméstica.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- Extensão do Programa "Laços que Importam" para </w:t>
      </w:r>
      <w:proofErr w:type="gram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empregados(</w:t>
      </w:r>
      <w:proofErr w:type="gram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as) desligados(as) compulsoriamente por idade (75 anos).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19 - Saúde e bem-estar: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- Os exames de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papanicolau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e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momografia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, bem como as consultas com ginecologista e mastologista, realizados por mulheres beneficiárias da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Camed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com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idadde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igual ou superior a 35 anos, e os exames do PSA total e livre, bem como as consultas com urologista, realizados por homens beneficiários da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Camed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com idade igual ou superior a 40 anos, no período de outubro a dezembro de 2026 a 2027, serão isentos de participação financeira.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Conversão do afastamento para exames preventivos de câncer, de dias para horas.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Ampliação do serviço presencial do De Bem Com Você Mesmo para o estado do Piauí.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20 - Patrocínio educação: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Empregado que teve especialização patrocinada pelo banco poderá participar de novos editais de patrocínio, passados dez anos do último patrocínio.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>- Redução dos prazos para solicitação de investimento-educação, para participação em eventos de capacitação externa, dos atuais 45 dias de antecedência, para: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45 dias: treinamentos presenciais com passagem aérea e valor acima de R$ 2.500,00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30 dias: treinamentos presenciais com passagem aérea e valor igual ou inferior a R$ 2.500,00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30 dias: treinamentos online ou sem deslocamento aéreo com valor acima de R$ 2.500,00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15 dias: treinamento online ou sem deslocamento aéreo com valor igual ou inferior a R$ 2.500,00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21 - Delegados Sindicais - Inamovibilidade dos Delegados Sindicais, a exemplo da previsão já existente dos dirigentes sindicais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22 - Criação de mesa temática para debater a revisão do Plano de Funções do banco.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23 - PLR 2026 e 2027 - renovação do Acordo de Participação nos Lucros e Resultados para os exercícios de 2026 e 2027, mantidas as condições vigentes e observadas a aprovação da excepcionalidade prevista no parágrafo único do art. 2º da Resolução CCE nº 10/1995, bem como as demais autorizações eventualmente exigidas pelos órgãos governamentais, sendo: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- Módulo </w:t>
      </w:r>
      <w:proofErr w:type="spellStart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Fenaban</w:t>
      </w:r>
      <w:proofErr w:type="spellEnd"/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- Distribuir até 9% do lucro líquido, calculado proporcionalmente ao valor total a ser distribuído, pelo atendimento das metas propostas.</w:t>
      </w:r>
    </w:p>
    <w:p w:rsidR="00CC63F3" w:rsidRPr="00336F07" w:rsidRDefault="00CC63F3" w:rsidP="00336F0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336F0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 Módulo metas sociais - Distribuir até 3% do lucro líquido linearmente, pelo atendimento das metas propostas. Obs.: calculado proporcionalmente ao valor provisionado.</w:t>
      </w:r>
    </w:p>
    <w:p w:rsidR="00600038" w:rsidRPr="00336F07" w:rsidRDefault="00600038" w:rsidP="00336F07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sectPr w:rsidR="00600038" w:rsidRPr="00336F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F3"/>
    <w:rsid w:val="00336F07"/>
    <w:rsid w:val="00600038"/>
    <w:rsid w:val="00CC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14EED-5751-46DF-940E-EA4E59AA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CC63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C63F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C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9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4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1404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ADELMO-IMPRENSA</dc:creator>
  <cp:keywords/>
  <dc:description/>
  <cp:lastModifiedBy>JORNALISTA04</cp:lastModifiedBy>
  <cp:revision>3</cp:revision>
  <dcterms:created xsi:type="dcterms:W3CDTF">2026-09-03T14:12:00Z</dcterms:created>
  <dcterms:modified xsi:type="dcterms:W3CDTF">2026-09-03T15:08:00Z</dcterms:modified>
</cp:coreProperties>
</file>