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BF7" w:rsidRPr="00BF0E8C" w:rsidRDefault="00971BF7" w:rsidP="00BF0E8C">
      <w:pPr>
        <w:spacing w:after="0" w:line="360" w:lineRule="auto"/>
        <w:jc w:val="both"/>
        <w:outlineLvl w:val="1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  <w:r w:rsidRPr="00BF0E8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Caixa: </w:t>
      </w:r>
    </w:p>
    <w:p w:rsidR="00971BF7" w:rsidRPr="00BF0E8C" w:rsidRDefault="00971BF7" w:rsidP="00BF0E8C">
      <w:pPr>
        <w:spacing w:after="0" w:line="360" w:lineRule="auto"/>
        <w:jc w:val="both"/>
        <w:outlineLvl w:val="1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</w:pPr>
      <w:r w:rsidRPr="00BF0E8C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Veja proposta que será votada na assembleia</w:t>
      </w:r>
    </w:p>
    <w:p w:rsidR="00971BF7" w:rsidRPr="00BF0E8C" w:rsidRDefault="00971BF7" w:rsidP="00BF0E8C">
      <w:pPr>
        <w:spacing w:after="0" w:line="36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F0E8C" w:rsidRPr="00BF0E8C" w:rsidRDefault="00971BF7" w:rsidP="00BF0E8C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Depois de 10 rodadas de negociação com a Comissão Executiva dos Empregados (CEE) da Caixa, iniciadas no dia 8 de julho, a Caixa Econômica apresentou a proposta final para o Acordo Coletivo de Trabalho (ACT) das empregadas e empregados, que, nos dias 3 e 4 de setembro (quinta e sexta-feira) irão para votação em assembleias sindicais da categoria em todo o país.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</w:p>
    <w:p w:rsidR="00971BF7" w:rsidRPr="00BF0E8C" w:rsidRDefault="00971BF7" w:rsidP="00BF0E8C">
      <w:pPr>
        <w:spacing w:after="0" w:line="360" w:lineRule="auto"/>
        <w:jc w:val="both"/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</w:pPr>
      <w:r w:rsidRPr="00BF0E8C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Veja abaixo alguns destes avanços.</w:t>
      </w:r>
    </w:p>
    <w:p w:rsidR="00BF0E8C" w:rsidRPr="00BF0E8C" w:rsidRDefault="00BF0E8C" w:rsidP="00BF0E8C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</w:p>
    <w:p w:rsidR="00971BF7" w:rsidRPr="00BF0E8C" w:rsidRDefault="00971BF7" w:rsidP="00BF0E8C">
      <w:pPr>
        <w:spacing w:after="0" w:line="360" w:lineRule="auto"/>
        <w:jc w:val="both"/>
        <w:rPr>
          <w:rFonts w:ascii="Tahoma" w:eastAsia="Times New Roman" w:hAnsi="Tahoma" w:cs="Tahoma"/>
          <w:color w:val="222222"/>
          <w:sz w:val="24"/>
          <w:szCs w:val="24"/>
          <w:lang w:eastAsia="pt-BR"/>
        </w:rPr>
      </w:pP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•    </w:t>
      </w:r>
      <w:r w:rsidRPr="00BF0E8C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Promoção por Mérito: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 retirada do </w:t>
      </w:r>
      <w:proofErr w:type="spellStart"/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Alcance.Caixa</w:t>
      </w:r>
      <w:proofErr w:type="spellEnd"/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dos critérios para obtenção dos deltas, atendendo reivindicação da CEE. A Caixa também aceitou que os deltas relativos aos anos-base de 2026 e 2027 sejam pagos, respectivamente, em janeiro de 2027 e janeiro de 2028, para que a progressão produza efeitos durante todo o ano, e garantindo</w:t>
      </w:r>
      <w:bookmarkStart w:id="0" w:name="_GoBack"/>
      <w:bookmarkEnd w:id="0"/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a possibilidade de dois </w:t>
      </w:r>
      <w:proofErr w:type="gramStart"/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deltas,  sem</w:t>
      </w:r>
      <w:proofErr w:type="gramEnd"/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a utilização do </w:t>
      </w:r>
      <w:proofErr w:type="spellStart"/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Alcance.Caixa</w:t>
      </w:r>
      <w:proofErr w:type="spellEnd"/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como critério. Cada delta significa, em média, 2,31% de aumento na remuneração </w:t>
      </w:r>
      <w:proofErr w:type="gramStart"/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base.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>•</w:t>
      </w:r>
      <w:proofErr w:type="gramEnd"/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    </w:t>
      </w:r>
      <w:r w:rsidRPr="00BF0E8C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Carreira e remuneração: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 criação de um GT com participação das entidades para discutir PFG, PCS, Processos Seletivos Internos e remuneração variável. A CEE cobrou início dos trabalhos logo após a campanha e calendário intensificado ainda em </w:t>
      </w:r>
      <w:proofErr w:type="gramStart"/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2026.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>•</w:t>
      </w:r>
      <w:proofErr w:type="gramEnd"/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    </w:t>
      </w:r>
      <w:proofErr w:type="spellStart"/>
      <w:r w:rsidRPr="00BF0E8C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Figital</w:t>
      </w:r>
      <w:proofErr w:type="spellEnd"/>
      <w:r w:rsidRPr="00BF0E8C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 xml:space="preserve"> e </w:t>
      </w:r>
      <w:proofErr w:type="spellStart"/>
      <w:r w:rsidRPr="00BF0E8C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Genesys</w:t>
      </w:r>
      <w:proofErr w:type="spellEnd"/>
      <w:r w:rsidRPr="00BF0E8C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: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 suspensão, até 31 de dezembro, da penalização no </w:t>
      </w:r>
      <w:proofErr w:type="spellStart"/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Alcance.Caixa</w:t>
      </w:r>
      <w:proofErr w:type="spellEnd"/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relacionada ao tempo de atendimento/transbordo e ampliação do prazo de cinco para dez minutos. Também foi conquistada agenda específica de negociação para discutir o próprio modelo de trabalho, inclusive sobrecarga e o fim do atendimento simultâneo presencial e digital.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>•    </w:t>
      </w:r>
      <w:r w:rsidRPr="00BF0E8C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Abono pecuniário de férias: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 possibilidade de conversão de dez dias em dinheiro independentemente do período de fruição das férias. 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>•    </w:t>
      </w:r>
      <w:r w:rsidRPr="00BF0E8C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Direito à desconexão: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 proteção do período fora da jornada, inclusive a proibição do uso de WhatsApp e outras ferramentas de mensagens a qualquer hora do dia e da noite e de qualquer outra ferramenta fora do expediente.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lastRenderedPageBreak/>
        <w:t>•    </w:t>
      </w:r>
      <w:r w:rsidRPr="00BF0E8C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Pessoas com deficiência: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 avanço no processo de enquadramento como PCD, inclusive pessoas com TEA, e possibilidade de adequações relacionadas à modalidade de trabalho e de redução de até 25% da jornada para realização de tratamento durante o horário de trabalho.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>•    </w:t>
      </w:r>
      <w:r w:rsidRPr="00BF0E8C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Diversidade e equidade: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 compromissos relacionados à equidade nos processos seletivos, realização periódica do Censo da Diversidade, fortalecimento dos coletivos, equidade de gênero, campanhas </w:t>
      </w:r>
      <w:proofErr w:type="spellStart"/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antidiscriminatórias</w:t>
      </w:r>
      <w:proofErr w:type="spellEnd"/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 xml:space="preserve"> e de acessibilidade física, tecnológica e comunicacional. 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>•    </w:t>
      </w:r>
      <w:r w:rsidRPr="00BF0E8C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Programa Saúde Integral: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 ampliação para ações de saúde cardiovascular, dependências relacionadas a tabagismo, substâncias e jogos e atendimento especializado e contínuo a partir dos resultados do PCMSO, com custos totalmente cobertos pela Caixa, sem impacto ao Saúde Caixa. 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>•    </w:t>
      </w:r>
      <w:r w:rsidRPr="00BF0E8C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Ausências permitidas: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 ampliação de possibilidades relacionadas ao acompanhamento médico de filhos/enteados, tirando o limite de idade de 18 anos e permitindo o uso pelo próprio empregado; maior flexibilidade para utilização das ausências ligadas à paternidade e casamento; e até três dias anuais para exames preventivos de câncer e HPV.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>•    </w:t>
      </w:r>
      <w:r w:rsidRPr="00BF0E8C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Licença-saúde: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 avanço para impedir que a devolução do adiantamento salarial comece enquanto ainda houver recurso contra indeferimento do INSS, além de possibilidade de parcelamento ou compensação em caso de decisão definitiva desfavorável. A proposta da Caixa permite ainda a possibilidade de tornar o adiantamento facultativo. 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br/>
        <w:t>•    </w:t>
      </w:r>
      <w:r w:rsidRPr="00BF0E8C">
        <w:rPr>
          <w:rFonts w:ascii="Tahoma" w:eastAsia="Times New Roman" w:hAnsi="Tahoma" w:cs="Tahoma"/>
          <w:b/>
          <w:bCs/>
          <w:color w:val="222222"/>
          <w:sz w:val="24"/>
          <w:szCs w:val="24"/>
          <w:lang w:eastAsia="pt-BR"/>
        </w:rPr>
        <w:t>Rede do Saúde Caixa:</w:t>
      </w:r>
      <w:r w:rsidRPr="00BF0E8C">
        <w:rPr>
          <w:rFonts w:ascii="Tahoma" w:eastAsia="Times New Roman" w:hAnsi="Tahoma" w:cs="Tahoma"/>
          <w:color w:val="222222"/>
          <w:sz w:val="24"/>
          <w:szCs w:val="24"/>
          <w:lang w:eastAsia="pt-BR"/>
        </w:rPr>
        <w:t> o acordo de reciprocidade com a Cassi, reivindicação antiga da representação dos empregados, amplia potencialmente a rede credenciada e ajuda a enfrentar vazios assistenciais.</w:t>
      </w:r>
    </w:p>
    <w:p w:rsidR="00971BF7" w:rsidRPr="00971BF7" w:rsidRDefault="00971BF7" w:rsidP="00971BF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971BF7">
        <w:rPr>
          <w:rFonts w:ascii="Arial" w:eastAsia="Times New Roman" w:hAnsi="Arial" w:cs="Arial"/>
          <w:noProof/>
          <w:color w:val="222222"/>
          <w:sz w:val="24"/>
          <w:szCs w:val="24"/>
          <w:lang w:eastAsia="pt-BR"/>
        </w:rPr>
        <w:lastRenderedPageBreak/>
        <w:drawing>
          <wp:inline distT="0" distB="0" distL="0" distR="0">
            <wp:extent cx="5762625" cy="7683500"/>
            <wp:effectExtent l="0" t="0" r="9525" b="0"/>
            <wp:docPr id="5" name="Imagem 5" descr="10 Pontos Negociad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0 Pontos Negociados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226" cy="768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BF7" w:rsidRPr="00971BF7" w:rsidRDefault="00971BF7" w:rsidP="00971BF7">
      <w:pPr>
        <w:spacing w:after="0" w:line="240" w:lineRule="auto"/>
        <w:outlineLvl w:val="1"/>
        <w:rPr>
          <w:rFonts w:ascii="Arial" w:eastAsia="Times New Roman" w:hAnsi="Arial" w:cs="Arial"/>
          <w:color w:val="222222"/>
          <w:sz w:val="36"/>
          <w:szCs w:val="36"/>
          <w:lang w:eastAsia="pt-BR"/>
        </w:rPr>
      </w:pPr>
      <w:r w:rsidRPr="00971BF7">
        <w:rPr>
          <w:rFonts w:ascii="Arial" w:eastAsia="Times New Roman" w:hAnsi="Arial" w:cs="Arial"/>
          <w:b/>
          <w:bCs/>
          <w:color w:val="222222"/>
          <w:sz w:val="36"/>
          <w:szCs w:val="36"/>
          <w:lang w:eastAsia="pt-BR"/>
        </w:rPr>
        <w:t>Déficit em 2026</w:t>
      </w:r>
    </w:p>
    <w:p w:rsidR="00971BF7" w:rsidRPr="00971BF7" w:rsidRDefault="00971BF7" w:rsidP="00971BF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971B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A Caixa afirmou que as mudanças de custeio cobradas dos usuários acrescentariam aproximadamente R$ 190 milhões. O valor é insuficiente para cobrir o déficit projetado para 2026. Para cobri-lo, a Caixa vai entrar com cerca de R$ 540 milhões, com o adiantamento dos valores que ela vai pagar ao plano a título de 13º. E vai iniciar os procedimentos necessários para ampliar o teto </w:t>
      </w:r>
      <w:r w:rsidRPr="00971B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lastRenderedPageBreak/>
        <w:t>de 6,5% para 8% em 2027.</w:t>
      </w:r>
      <w:r w:rsidRPr="00971B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Tanto a ampliação da contribuição da Caixa, quanto a retirada do que a Caixa paga em decorrência das ações judiciais dos usuários do PAMS são reivindicações históricas dos empregados.</w:t>
      </w:r>
    </w:p>
    <w:p w:rsidR="00971BF7" w:rsidRPr="00971BF7" w:rsidRDefault="00971BF7" w:rsidP="00971BF7">
      <w:pPr>
        <w:spacing w:after="0" w:line="240" w:lineRule="auto"/>
        <w:outlineLvl w:val="1"/>
        <w:rPr>
          <w:rFonts w:ascii="Arial" w:eastAsia="Times New Roman" w:hAnsi="Arial" w:cs="Arial"/>
          <w:color w:val="222222"/>
          <w:sz w:val="36"/>
          <w:szCs w:val="36"/>
          <w:lang w:eastAsia="pt-BR"/>
        </w:rPr>
      </w:pPr>
      <w:r w:rsidRPr="00971BF7">
        <w:rPr>
          <w:rFonts w:ascii="Arial" w:eastAsia="Times New Roman" w:hAnsi="Arial" w:cs="Arial"/>
          <w:b/>
          <w:bCs/>
          <w:color w:val="222222"/>
          <w:sz w:val="36"/>
          <w:szCs w:val="36"/>
          <w:lang w:eastAsia="pt-BR"/>
        </w:rPr>
        <w:t>Como ficou a proposta do Saúde Caixa</w:t>
      </w:r>
    </w:p>
    <w:p w:rsidR="00971BF7" w:rsidRPr="00971BF7" w:rsidRDefault="00971BF7" w:rsidP="00971BF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971B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Na proposta, a Caixa vai iniciar os procedimentos necessários para ampliar o teto de 6,5% para 8% em 2027. Isso permitiria que o banco colocasse mais R$ 600 milhões no plano a partir do ano que vem. Na parte dos usuários, o titular da ativa passa para uma contribuição progressiva por idade. Atualmente, todos pagam 3,5% da remuneração base. Na proposta que será votada nas assembleias, os mais jovens passam a pagar 2,7% e o percentual aumenta até 4,5%, conforme a idade.</w:t>
      </w:r>
      <w:r w:rsidRPr="00971B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Os dependentes também passam a pagar de acordo com a faixa etária (entre R$ 480 e R$ 660). O teto familiar passa de 7% a 9% da remuneração base.</w:t>
      </w:r>
      <w:r w:rsidRPr="00971B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Para aposentados e pensionistas, a contribuição do titular passa para 4,5%, os dependentes para R$ 660 e o teto familiar também para 9</w:t>
      </w:r>
      <w:proofErr w:type="gramStart"/>
      <w:r w:rsidRPr="00971B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%.</w:t>
      </w:r>
      <w:r w:rsidRPr="00971B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Em</w:t>
      </w:r>
      <w:proofErr w:type="gramEnd"/>
      <w:r w:rsidRPr="00971B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todos os casos, mesmo que se atinja o teto de 9%, há um piso de R$ 50 por usuário. A cobrança visa evitar que haja isenções de pagamento.</w:t>
      </w:r>
      <w:r w:rsidRPr="00971B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Para estimular o uso da telemedicina, que gera menos custos para o plano, esse tipo de consulta passa a ser isento de coparticipação. Internações e tratamentos oncológicos também seguem isentos de coparticipação. O valor da consulta em pronto-socorro subiria dos atuais R$ 75 para R$ 150, e o limite anual por grupo familiar passaria de R$ 3.600 para R$ 4.800.</w:t>
      </w:r>
      <w:r w:rsidRPr="00971B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>A proposta prevê ainda recadastramento anual dos titulares e grupos familiares e abertura de um prazo de 90 dias para adesão de titulares que atualmente estejam fora do Saúde Caixa. Encerrado esse período, quem cancelar sua adesão não poderá voltar ao plano.</w:t>
      </w:r>
    </w:p>
    <w:p w:rsidR="00971BF7" w:rsidRPr="00971BF7" w:rsidRDefault="00971BF7" w:rsidP="00971BF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971BF7">
        <w:rPr>
          <w:rFonts w:ascii="Arial" w:eastAsia="Times New Roman" w:hAnsi="Arial" w:cs="Arial"/>
          <w:noProof/>
          <w:color w:val="222222"/>
          <w:sz w:val="24"/>
          <w:szCs w:val="24"/>
          <w:lang w:eastAsia="pt-BR"/>
        </w:rPr>
        <w:lastRenderedPageBreak/>
        <w:drawing>
          <wp:inline distT="0" distB="0" distL="0" distR="0">
            <wp:extent cx="5581650" cy="6974575"/>
            <wp:effectExtent l="0" t="0" r="0" b="0"/>
            <wp:docPr id="4" name="Imagem 4" descr="Proposta Saude Caix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oposta Saude Caix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204" cy="698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BF7" w:rsidRPr="00971BF7" w:rsidRDefault="00971BF7" w:rsidP="00971BF7">
      <w:pPr>
        <w:spacing w:after="0" w:line="240" w:lineRule="auto"/>
        <w:outlineLvl w:val="1"/>
        <w:rPr>
          <w:rFonts w:ascii="Arial" w:eastAsia="Times New Roman" w:hAnsi="Arial" w:cs="Arial"/>
          <w:color w:val="222222"/>
          <w:sz w:val="36"/>
          <w:szCs w:val="36"/>
          <w:lang w:eastAsia="pt-BR"/>
        </w:rPr>
      </w:pPr>
      <w:r w:rsidRPr="00971BF7">
        <w:rPr>
          <w:rFonts w:ascii="Arial" w:eastAsia="Times New Roman" w:hAnsi="Arial" w:cs="Arial"/>
          <w:b/>
          <w:bCs/>
          <w:color w:val="222222"/>
          <w:sz w:val="36"/>
          <w:szCs w:val="36"/>
          <w:lang w:eastAsia="pt-BR"/>
        </w:rPr>
        <w:t>Números do Saúde Caixa</w:t>
      </w:r>
    </w:p>
    <w:p w:rsidR="00971BF7" w:rsidRPr="00971BF7" w:rsidRDefault="00971BF7" w:rsidP="00971BF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971B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 Relatório de Administração de 2025 mostra que as despesas do Saúde Caixa atingiram R$ 4,39 bilhões, crescimento superior a 22% em apenas um ano, enquanto as receitas ficaram em R$ 3,76 bilhões, aumento de aproximadamente 5%. O resultado foi um déficit operacional de R$ 627,8 milhões. Para cobri-lo, a Caixa irá aportar cerca de 540 milhões, com o adiantamento da parcela do banco referente ao 13º dos anos de 2027 e 2028; além de retirar as despesas do PAMS do teto estatutário, já em 2026.</w:t>
      </w:r>
      <w:r w:rsidRPr="00971B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br/>
        <w:t xml:space="preserve">As despesas médicas crescem em ritmo muito superior à folha. Tanto devido à inflação médica, quanto devido ao aumento do uso do plano. O custo </w:t>
      </w:r>
      <w:r w:rsidRPr="00971BF7">
        <w:rPr>
          <w:rFonts w:ascii="Arial" w:eastAsia="Times New Roman" w:hAnsi="Arial" w:cs="Arial"/>
          <w:color w:val="222222"/>
          <w:sz w:val="24"/>
          <w:szCs w:val="24"/>
          <w:lang w:eastAsia="pt-BR"/>
        </w:rPr>
        <w:lastRenderedPageBreak/>
        <w:t>assistencial anual por usuário saltou de aproximadamente R$ 9,85 mil em 2022 para R$ 15,82 mil em 2025, crescimento de 60,6%. Entre 2024 e 2025, o avanço foi de aproximadamente 23,5%.</w:t>
      </w:r>
    </w:p>
    <w:p w:rsidR="00971BF7" w:rsidRPr="00971BF7" w:rsidRDefault="00971BF7" w:rsidP="00971BF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971BF7">
        <w:rPr>
          <w:rFonts w:ascii="Arial" w:eastAsia="Times New Roman" w:hAnsi="Arial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6153150" cy="7688695"/>
            <wp:effectExtent l="0" t="0" r="0" b="7620"/>
            <wp:docPr id="3" name="Imagem 3" descr="Quadro resum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Quadro resumo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758" cy="769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BF7" w:rsidRPr="00971BF7" w:rsidRDefault="00971BF7" w:rsidP="00971BF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971BF7">
        <w:rPr>
          <w:rFonts w:ascii="Arial" w:eastAsia="Times New Roman" w:hAnsi="Arial" w:cs="Arial"/>
          <w:noProof/>
          <w:color w:val="222222"/>
          <w:sz w:val="24"/>
          <w:szCs w:val="24"/>
          <w:lang w:eastAsia="pt-BR"/>
        </w:rPr>
        <w:lastRenderedPageBreak/>
        <w:drawing>
          <wp:inline distT="0" distB="0" distL="0" distR="0">
            <wp:extent cx="5556961" cy="6943725"/>
            <wp:effectExtent l="0" t="0" r="5715" b="0"/>
            <wp:docPr id="2" name="Imagem 2" descr="Quadro resum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Quadro resumo 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873" cy="695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BF7" w:rsidRPr="00971BF7" w:rsidRDefault="00971BF7" w:rsidP="00971BF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971BF7">
        <w:rPr>
          <w:rFonts w:ascii="Arial" w:eastAsia="Times New Roman" w:hAnsi="Arial" w:cs="Arial"/>
          <w:noProof/>
          <w:color w:val="222222"/>
          <w:sz w:val="24"/>
          <w:szCs w:val="24"/>
          <w:lang w:eastAsia="pt-BR"/>
        </w:rPr>
        <w:lastRenderedPageBreak/>
        <w:drawing>
          <wp:inline distT="0" distB="0" distL="0" distR="0">
            <wp:extent cx="5829300" cy="7284027"/>
            <wp:effectExtent l="0" t="0" r="0" b="0"/>
            <wp:docPr id="1" name="Imagem 1" descr="Quadro resum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Quadro resumo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452" cy="729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038" w:rsidRDefault="00600038"/>
    <w:sectPr w:rsidR="006000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BF7"/>
    <w:rsid w:val="00600038"/>
    <w:rsid w:val="00971BF7"/>
    <w:rsid w:val="00BF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913D6-C939-4432-B294-56A98150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971B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971BF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71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71B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0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9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83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13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1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0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15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1035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ADELMO-IMPRENSA</dc:creator>
  <cp:keywords/>
  <dc:description/>
  <cp:lastModifiedBy>JORNALISTA04</cp:lastModifiedBy>
  <cp:revision>3</cp:revision>
  <dcterms:created xsi:type="dcterms:W3CDTF">2026-09-03T14:04:00Z</dcterms:created>
  <dcterms:modified xsi:type="dcterms:W3CDTF">2026-09-03T15:14:00Z</dcterms:modified>
</cp:coreProperties>
</file>